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IUTAMSymposium onIUTAMSymposium onGeneralized continuaemerging from microstructures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19–23 July 2021</w:t>
      </w:r>
    </w:p>
    <w:p>
      <w:pPr>
        <w:pStyle w:val="Lignehorizont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Abstract template for the IUTAM Symposium on Generalized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continua emerging from microstructures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Marcel Gaucher</w:t>
      </w:r>
      <w:r>
        <w:rPr>
          <w:rFonts w:ascii="Times New Roman" w:hAnsi="Times New Roman"/>
          <w:position w:val="10"/>
          <w:sz w:val="2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, Philippe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vinas</w:t>
      </w:r>
      <w:r>
        <w:rPr>
          <w:rFonts w:ascii="Times New Roman" w:hAnsi="Times New Roman"/>
          <w:position w:val="10"/>
          <w:sz w:val="22"/>
          <w:sz w:val="24"/>
          <w:szCs w:val="24"/>
        </w:rPr>
        <w:t>2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0"/>
          <w:sz w:val="2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Department, Affiliation, City, Country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E-mail: mail1@address.fr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0"/>
          <w:sz w:val="22"/>
          <w:sz w:val="24"/>
          <w:szCs w:val="24"/>
        </w:rPr>
        <w:t xml:space="preserve">2 </w:t>
      </w:r>
      <w:r>
        <w:rPr>
          <w:rFonts w:ascii="Times New Roman" w:hAnsi="Times New Roman"/>
          <w:i/>
          <w:iCs/>
          <w:sz w:val="24"/>
          <w:szCs w:val="24"/>
        </w:rPr>
        <w:t>Department, Affiliation, City, Country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E-mail: mail2@address.edu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Abstract:</w:t>
      </w:r>
      <w:r>
        <w:rPr>
          <w:rFonts w:ascii="Times New Roman" w:hAnsi="Times New Roman"/>
          <w:sz w:val="24"/>
          <w:szCs w:val="24"/>
        </w:rPr>
        <w:t xml:space="preserve"> A one-page abstract, including references, figures, and tables, must be submitted 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pdf-version online before the deadline. The filename of the submitted abstract must have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following pattern: </w:t>
      </w:r>
      <w:r>
        <w:rPr>
          <w:rFonts w:ascii="Times New Roman" w:hAnsi="Times New Roman"/>
          <w:b/>
          <w:bCs/>
          <w:sz w:val="24"/>
          <w:szCs w:val="24"/>
        </w:rPr>
        <w:t>“Lastname of first author” IUTAM Paris2021.pdf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abstract should include the motivation of the work to be presented at the Symposium.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authors are asked to give a problem statement, the approach and method of analysis, 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well as an outline of the main findings. The body of the abstract must be written in English 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 the instructions below.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abstract should be in paper A4 size, with margins as specified in this document. Indentation among paragraphs is 5 mm.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text must be written in </w:t>
      </w:r>
      <w:r>
        <w:rPr>
          <w:rFonts w:ascii="Times New Roman" w:hAnsi="Times New Roman"/>
          <w:b/>
          <w:bCs/>
          <w:sz w:val="24"/>
          <w:szCs w:val="24"/>
        </w:rPr>
        <w:t>Times New Roman with 12 point size</w:t>
      </w:r>
      <w:r>
        <w:rPr>
          <w:rFonts w:ascii="Times New Roman" w:hAnsi="Times New Roman"/>
          <w:sz w:val="24"/>
          <w:szCs w:val="24"/>
        </w:rPr>
        <w:t>, with the exception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title of the Paper which must be 17 point Times New Roman, in bold and capital letters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throughout. The authors name and affiliation must be in 12 point Times New Roman with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affiliation in italic. Likewise, figure and table captions must be in 12 point Times New Roman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italic. The body of the text must be aligned to both the left and right margins.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items in the </w:t>
      </w:r>
      <w:r>
        <w:rPr>
          <w:rFonts w:ascii="Times New Roman" w:hAnsi="Times New Roman"/>
          <w:b/>
          <w:bCs/>
          <w:sz w:val="24"/>
          <w:szCs w:val="24"/>
        </w:rPr>
        <w:t>reference list</w:t>
      </w:r>
      <w:r>
        <w:rPr>
          <w:rFonts w:ascii="Times New Roman" w:hAnsi="Times New Roman"/>
          <w:sz w:val="24"/>
          <w:szCs w:val="24"/>
        </w:rPr>
        <w:t xml:space="preserve"> must be cited in the body of the abstract and appear in square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brackets “[1]” (possibly including names). In the Reference list, the font should be Times 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Roman with 12 point size. The Author name list should be terminated by a ‘comma’.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citation number must be enclosed in brackets (an example is given below).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[1] Cosserat, E. and Cosserat, F. (1909). </w:t>
      </w:r>
      <w:r>
        <w:rPr>
          <w:rFonts w:ascii="Times New Roman" w:hAnsi="Times New Roman"/>
          <w:i/>
          <w:iCs/>
          <w:sz w:val="24"/>
          <w:szCs w:val="24"/>
        </w:rPr>
        <w:t>Th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orie des corps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formables</w:t>
      </w:r>
      <w:r>
        <w:rPr>
          <w:rFonts w:ascii="Times New Roman" w:hAnsi="Times New Roman"/>
          <w:sz w:val="24"/>
          <w:szCs w:val="24"/>
        </w:rPr>
        <w:t>. Hermann, Paris.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[2] Kr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ner, E. (1967). </w:t>
      </w:r>
      <w:r>
        <w:rPr>
          <w:rFonts w:ascii="Times New Roman" w:hAnsi="Times New Roman"/>
          <w:i/>
          <w:iCs/>
          <w:sz w:val="24"/>
          <w:szCs w:val="24"/>
        </w:rPr>
        <w:t>Mechanics of generalized continua</w:t>
      </w:r>
      <w:r>
        <w:rPr>
          <w:rFonts w:ascii="Times New Roman" w:hAnsi="Times New Roman"/>
          <w:sz w:val="24"/>
          <w:szCs w:val="24"/>
        </w:rPr>
        <w:t>, Proc. of the IUTAM-Symposium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generalized Cosserat continuum and the continuum theory of dislocations with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applications, Freudenstadt, Stuttgart. Springer Verlag.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[3] Gurtin, M. (1996). </w:t>
      </w:r>
      <w:r>
        <w:rPr>
          <w:rFonts w:ascii="Times New Roman" w:hAnsi="Times New Roman"/>
          <w:i w:val="false"/>
          <w:iCs w:val="false"/>
          <w:sz w:val="24"/>
          <w:szCs w:val="24"/>
        </w:rPr>
        <w:t>Generalized Ginzburg–Landau and Cahn–Hilliard equations based on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a microforce balance.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Physica D</w:t>
      </w:r>
      <w:r>
        <w:rPr>
          <w:rFonts w:ascii="Times New Roman" w:hAnsi="Times New Roman"/>
          <w:sz w:val="24"/>
          <w:szCs w:val="24"/>
        </w:rPr>
        <w:t>, 92:178–192.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[4] Halphen, B. and Nguyen, Q.S. (1975). Sur les mat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riaux standards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i/>
          <w:iCs/>
          <w:sz w:val="24"/>
          <w:szCs w:val="24"/>
        </w:rPr>
        <w:t>Journal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 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canique</w:t>
      </w:r>
      <w:r>
        <w:rPr>
          <w:rFonts w:ascii="Times New Roman" w:hAnsi="Times New Roman"/>
          <w:sz w:val="24"/>
          <w:szCs w:val="24"/>
        </w:rPr>
        <w:t>, 14:39–63.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[5] Nowacki, W. (1986). </w:t>
      </w:r>
      <w:r>
        <w:rPr>
          <w:rFonts w:ascii="Times New Roman" w:hAnsi="Times New Roman"/>
          <w:i/>
          <w:iCs/>
          <w:sz w:val="24"/>
          <w:szCs w:val="24"/>
        </w:rPr>
        <w:t>Theory of asymmetric elasticity</w:t>
      </w:r>
      <w:r>
        <w:rPr>
          <w:rFonts w:ascii="Times New Roman" w:hAnsi="Times New Roman"/>
          <w:sz w:val="24"/>
          <w:szCs w:val="24"/>
        </w:rPr>
        <w:t>. Pergamon.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Lohit Devanagari"/>
      <w:color w:val="auto"/>
      <w:sz w:val="24"/>
      <w:szCs w:val="24"/>
      <w:lang w:val="en-US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LibreOffice/5.3.6.1$Linux_X86_64 LibreOffice_project/30$Build-1</Application>
  <Pages>1</Pages>
  <Words>387</Words>
  <Characters>2109</Characters>
  <CharactersWithSpaces>2483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2021-05-05T08:48:25Z</dcterms:created>
  <dc:creator>x x</dc:creator>
  <dc:description/>
  <dc:language>fr-FR</dc:language>
  <cp:lastModifiedBy>x x</cp:lastModifiedBy>
  <dcterms:modified xsi:type="dcterms:W3CDTF">2021-05-05T13:53:48Z</dcterms:modified>
  <cp:revision>5</cp:revision>
  <dc:subject/>
  <dc:title/>
</cp:coreProperties>
</file>